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030" w:rsidRDefault="00C2238A">
      <w:pPr>
        <w:kinsoku w:val="0"/>
        <w:overflowPunct w:val="0"/>
        <w:autoSpaceDE/>
        <w:autoSpaceDN/>
        <w:adjustRightInd/>
        <w:spacing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TAT-3366-2017</w:t>
      </w:r>
      <w:bookmarkEnd w:id="0"/>
    </w:p>
    <w:p w:rsidR="00C23030" w:rsidRDefault="00C2238A">
      <w:pPr>
        <w:kinsoku w:val="0"/>
        <w:overflowPunct w:val="0"/>
        <w:autoSpaceDE/>
        <w:autoSpaceDN/>
        <w:adjustRightInd/>
        <w:spacing w:before="541" w:line="27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seis minutos del catorce de diciembre dos mil diecisiete. -</w:t>
      </w:r>
    </w:p>
    <w:p w:rsidR="00C23030" w:rsidRDefault="00C2238A">
      <w:pPr>
        <w:kinsoku w:val="0"/>
        <w:overflowPunct w:val="0"/>
        <w:autoSpaceDE/>
        <w:autoSpaceDN/>
        <w:adjustRightInd/>
        <w:spacing w:before="256" w:line="270"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A</w:t>
      </w:r>
      <w:r w:rsidR="008A6760">
        <w:rPr>
          <w:rFonts w:ascii="Verdana" w:hAnsi="Verdana" w:cs="Verdana"/>
          <w:b/>
          <w:bCs/>
          <w:sz w:val="22"/>
          <w:szCs w:val="22"/>
          <w:lang w:val="es-ES" w:eastAsia="es-ES"/>
        </w:rPr>
        <w:t>.G.N.V.</w:t>
      </w:r>
      <w:r>
        <w:rPr>
          <w:rFonts w:ascii="Verdana" w:hAnsi="Verdana" w:cs="Verdana"/>
          <w:b/>
          <w:bCs/>
          <w:sz w:val="22"/>
          <w:szCs w:val="22"/>
          <w:lang w:val="es-ES" w:eastAsia="es-ES"/>
        </w:rPr>
        <w:t xml:space="preserve">, cédula de identidad número </w:t>
      </w:r>
      <w:r w:rsidR="008A6760">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7.10.3 de la Sesión Ordinaria 05-2017 de 9 de febrero de 2017, </w:t>
      </w:r>
      <w:r>
        <w:rPr>
          <w:rFonts w:ascii="Verdana" w:hAnsi="Verdana" w:cs="Verdana"/>
          <w:sz w:val="22"/>
          <w:szCs w:val="22"/>
          <w:lang w:val="es-ES" w:eastAsia="es-ES"/>
        </w:rPr>
        <w:t xml:space="preserve">dictado por la Junta Directiva del Consejo de Transporte Público y el </w:t>
      </w:r>
      <w:r>
        <w:rPr>
          <w:rFonts w:ascii="Verdana" w:hAnsi="Verdana" w:cs="Verdana"/>
          <w:b/>
          <w:bCs/>
          <w:sz w:val="22"/>
          <w:szCs w:val="22"/>
          <w:lang w:val="es-ES" w:eastAsia="es-ES"/>
        </w:rPr>
        <w:t xml:space="preserve">oficio DACP-PT-2017-685 de 10 de setiembre de 2017 </w:t>
      </w:r>
      <w:r>
        <w:rPr>
          <w:rFonts w:ascii="Verdana" w:hAnsi="Verdana" w:cs="Verdana"/>
          <w:sz w:val="22"/>
          <w:szCs w:val="22"/>
          <w:lang w:val="es-ES" w:eastAsia="es-ES"/>
        </w:rPr>
        <w:t xml:space="preserve">del Departamento de Administración de Concesiones y Permisos. El caso es tramitado en este despacho bajo </w:t>
      </w:r>
      <w:r>
        <w:rPr>
          <w:rFonts w:ascii="Verdana" w:hAnsi="Verdana" w:cs="Verdana"/>
          <w:b/>
          <w:bCs/>
          <w:sz w:val="22"/>
          <w:szCs w:val="22"/>
          <w:lang w:val="es-ES" w:eastAsia="es-ES"/>
        </w:rPr>
        <w:t>Expediente Administrativo No. TAT-140-17.</w:t>
      </w:r>
    </w:p>
    <w:p w:rsidR="00C23030" w:rsidRDefault="00C2238A">
      <w:pPr>
        <w:kinsoku w:val="0"/>
        <w:overflowPunct w:val="0"/>
        <w:autoSpaceDE/>
        <w:autoSpaceDN/>
        <w:adjustRightInd/>
        <w:spacing w:before="525"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C23030" w:rsidRDefault="00C2238A" w:rsidP="008A6760">
      <w:pPr>
        <w:kinsoku w:val="0"/>
        <w:overflowPunct w:val="0"/>
        <w:autoSpaceDE/>
        <w:autoSpaceDN/>
        <w:adjustRightInd/>
        <w:spacing w:before="285" w:line="267"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7.10.3 de la Sesión Ordinaria 05-2017 de 9 de febrero de 2017,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w:t>
      </w:r>
      <w:r>
        <w:rPr>
          <w:rFonts w:ascii="Verdana" w:hAnsi="Verdana" w:cs="Verdana"/>
          <w:b/>
          <w:bCs/>
          <w:i/>
          <w:iCs/>
          <w:spacing w:val="-2"/>
          <w:sz w:val="22"/>
          <w:szCs w:val="22"/>
          <w:lang w:val="es-ES" w:eastAsia="es-ES"/>
        </w:rPr>
        <w:t xml:space="preserve">DAJ 2017-000316, </w:t>
      </w:r>
      <w:r>
        <w:rPr>
          <w:rFonts w:ascii="Verdana" w:hAnsi="Verdana" w:cs="Verdana"/>
          <w:i/>
          <w:iCs/>
          <w:spacing w:val="-2"/>
          <w:sz w:val="22"/>
          <w:szCs w:val="22"/>
          <w:lang w:val="es-ES" w:eastAsia="es-ES"/>
        </w:rPr>
        <w:t xml:space="preserve">todas las recomendaciones contenidas en el oficio dicho, el cual forma parte integral de este acuerdo. 2. Cancelar de manera </w:t>
      </w:r>
      <w:proofErr w:type="spellStart"/>
      <w:r>
        <w:rPr>
          <w:rFonts w:ascii="Verdana" w:hAnsi="Verdana" w:cs="Verdana"/>
          <w:i/>
          <w:iCs/>
          <w:spacing w:val="-2"/>
          <w:sz w:val="22"/>
          <w:szCs w:val="22"/>
          <w:lang w:val="es-ES" w:eastAsia="es-ES"/>
        </w:rPr>
        <w:t>automáticalas</w:t>
      </w:r>
      <w:proofErr w:type="spellEnd"/>
      <w:r>
        <w:rPr>
          <w:rFonts w:ascii="Verdana" w:hAnsi="Verdana" w:cs="Verdana"/>
          <w:i/>
          <w:iCs/>
          <w:spacing w:val="-2"/>
          <w:sz w:val="22"/>
          <w:szCs w:val="22"/>
          <w:lang w:val="es-ES" w:eastAsia="es-ES"/>
        </w:rPr>
        <w:t xml:space="preserve">(sic) concesiones de taxi a las siguientes personas, por vencimiento del plazo y no haber renovado la concesión, al amparo de lo estipulado en el artículo 40 inciso f) de la Ley </w:t>
      </w:r>
      <w:proofErr w:type="spellStart"/>
      <w:r>
        <w:rPr>
          <w:rFonts w:ascii="Verdana" w:hAnsi="Verdana" w:cs="Verdana"/>
          <w:i/>
          <w:iCs/>
          <w:spacing w:val="-2"/>
          <w:sz w:val="22"/>
          <w:szCs w:val="22"/>
          <w:lang w:val="es-ES" w:eastAsia="es-ES"/>
        </w:rPr>
        <w:t>N°</w:t>
      </w:r>
      <w:proofErr w:type="spellEnd"/>
      <w:r w:rsidR="008A6760">
        <w:rPr>
          <w:rFonts w:ascii="Verdana" w:hAnsi="Verdana" w:cs="Verdana"/>
          <w:i/>
          <w:iCs/>
          <w:spacing w:val="-2"/>
          <w:sz w:val="22"/>
          <w:szCs w:val="22"/>
          <w:lang w:val="es-ES" w:eastAsia="es-ES"/>
        </w:rPr>
        <w:t xml:space="preserve"> </w:t>
      </w:r>
      <w:r>
        <w:rPr>
          <w:rFonts w:ascii="Verdana" w:hAnsi="Verdana" w:cs="Verdana"/>
          <w:i/>
          <w:iCs/>
          <w:spacing w:val="-2"/>
          <w:sz w:val="22"/>
          <w:szCs w:val="22"/>
          <w:lang w:val="es-ES" w:eastAsia="es-ES"/>
        </w:rPr>
        <w:t>7969</w:t>
      </w:r>
      <w:r w:rsidR="008A6760">
        <w:rPr>
          <w:rFonts w:ascii="Verdana" w:hAnsi="Verdana" w:cs="Verdana"/>
          <w:i/>
          <w:iCs/>
          <w:spacing w:val="-2"/>
          <w:sz w:val="22"/>
          <w:szCs w:val="22"/>
          <w:lang w:val="es-ES" w:eastAsia="es-ES"/>
        </w:rPr>
        <w:t xml:space="preserve"> </w:t>
      </w:r>
      <w:r>
        <w:rPr>
          <w:rFonts w:ascii="Verdana" w:hAnsi="Verdana" w:cs="Verdana"/>
          <w:i/>
          <w:iCs/>
          <w:spacing w:val="-2"/>
          <w:sz w:val="22"/>
          <w:szCs w:val="22"/>
          <w:lang w:val="es-ES" w:eastAsia="es-ES"/>
        </w:rPr>
        <w:t>A</w:t>
      </w:r>
      <w:r w:rsidR="008A6760">
        <w:rPr>
          <w:rFonts w:ascii="Verdana" w:hAnsi="Verdana" w:cs="Verdana"/>
          <w:i/>
          <w:iCs/>
          <w:spacing w:val="-2"/>
          <w:sz w:val="22"/>
          <w:szCs w:val="22"/>
          <w:lang w:val="es-ES" w:eastAsia="es-ES"/>
        </w:rPr>
        <w:t>.N.V.</w:t>
      </w:r>
      <w:proofErr w:type="gramStart"/>
      <w:r>
        <w:rPr>
          <w:rFonts w:ascii="Verdana" w:hAnsi="Verdana" w:cs="Verdana"/>
          <w:i/>
          <w:iCs/>
          <w:spacing w:val="-2"/>
          <w:sz w:val="22"/>
          <w:szCs w:val="22"/>
          <w:lang w:val="es-ES" w:eastAsia="es-ES"/>
        </w:rPr>
        <w:t xml:space="preserve"> ...</w:t>
      </w:r>
      <w:r w:rsidR="008A6760">
        <w:rPr>
          <w:rFonts w:ascii="Verdana" w:hAnsi="Verdana" w:cs="Verdana"/>
          <w:i/>
          <w:iCs/>
          <w:spacing w:val="-2"/>
          <w:sz w:val="22"/>
          <w:szCs w:val="22"/>
          <w:lang w:val="es-ES" w:eastAsia="es-ES"/>
        </w:rPr>
        <w:t>.</w:t>
      </w:r>
      <w:proofErr w:type="gramEnd"/>
      <w:r w:rsidR="008A6760">
        <w:rPr>
          <w:rFonts w:ascii="Verdana" w:hAnsi="Verdana" w:cs="Verdana"/>
          <w:i/>
          <w:iCs/>
          <w:spacing w:val="-2"/>
          <w:sz w:val="22"/>
          <w:szCs w:val="22"/>
          <w:lang w:val="es-ES" w:eastAsia="es-ES"/>
        </w:rPr>
        <w:t>”</w:t>
      </w:r>
      <w:r>
        <w:rPr>
          <w:rFonts w:ascii="Verdana" w:hAnsi="Verdana" w:cs="Verdana"/>
          <w:i/>
          <w:iCs/>
          <w:spacing w:val="-2"/>
          <w:sz w:val="22"/>
          <w:szCs w:val="22"/>
          <w:lang w:val="es-ES" w:eastAsia="es-ES"/>
        </w:rPr>
        <w:t xml:space="preserve"> </w:t>
      </w:r>
      <w:r>
        <w:rPr>
          <w:rFonts w:ascii="Verdana" w:hAnsi="Verdana" w:cs="Verdana"/>
          <w:spacing w:val="-2"/>
          <w:sz w:val="22"/>
          <w:szCs w:val="22"/>
          <w:lang w:val="es-ES" w:eastAsia="es-ES"/>
        </w:rPr>
        <w:t>(Léanse folios 16 y 17 del expediente</w:t>
      </w:r>
      <w:r>
        <w:rPr>
          <w:rFonts w:ascii="Verdana" w:hAnsi="Verdana" w:cs="Verdana"/>
          <w:spacing w:val="-2"/>
          <w:sz w:val="22"/>
          <w:szCs w:val="22"/>
          <w:lang w:val="es-ES" w:eastAsia="es-ES"/>
        </w:rPr>
        <w:br/>
        <w:t>administrativo)</w:t>
      </w:r>
    </w:p>
    <w:p w:rsidR="00C23030" w:rsidRDefault="00C2238A">
      <w:pPr>
        <w:kinsoku w:val="0"/>
        <w:overflowPunct w:val="0"/>
        <w:autoSpaceDE/>
        <w:autoSpaceDN/>
        <w:adjustRightInd/>
        <w:spacing w:before="238" w:line="270"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El </w:t>
      </w:r>
      <w:r>
        <w:rPr>
          <w:rFonts w:ascii="Verdana" w:hAnsi="Verdana" w:cs="Verdana"/>
          <w:b/>
          <w:bCs/>
          <w:spacing w:val="-2"/>
          <w:sz w:val="22"/>
          <w:szCs w:val="22"/>
          <w:lang w:val="es-ES" w:eastAsia="es-ES"/>
        </w:rPr>
        <w:t xml:space="preserve">Departamento de Administración de Concesiones y Permisos del CTP, </w:t>
      </w:r>
      <w:r>
        <w:rPr>
          <w:rFonts w:ascii="Verdana" w:hAnsi="Verdana" w:cs="Verdana"/>
          <w:spacing w:val="-2"/>
          <w:sz w:val="22"/>
          <w:szCs w:val="22"/>
          <w:lang w:val="es-ES" w:eastAsia="es-ES"/>
        </w:rPr>
        <w:t xml:space="preserve">mediante </w:t>
      </w:r>
      <w:r>
        <w:rPr>
          <w:rFonts w:ascii="Verdana" w:hAnsi="Verdana" w:cs="Verdana"/>
          <w:b/>
          <w:bCs/>
          <w:spacing w:val="-2"/>
          <w:sz w:val="22"/>
          <w:szCs w:val="22"/>
          <w:lang w:val="es-ES" w:eastAsia="es-ES"/>
        </w:rPr>
        <w:t xml:space="preserve">oficio DACP-PT-2017-685 de 10 de setiembre de 2017, </w:t>
      </w:r>
      <w:r>
        <w:rPr>
          <w:rFonts w:ascii="Verdana" w:hAnsi="Verdana" w:cs="Verdana"/>
          <w:spacing w:val="-2"/>
          <w:sz w:val="22"/>
          <w:szCs w:val="22"/>
          <w:lang w:val="es-ES" w:eastAsia="es-ES"/>
        </w:rPr>
        <w:t xml:space="preserve">comunica al recurrente, que al no reportarse recurso alguno presentado contra el acuerdo impugnado se tiene por cancelada la concesión </w:t>
      </w:r>
      <w:r>
        <w:rPr>
          <w:rFonts w:ascii="Verdana" w:hAnsi="Verdana" w:cs="Verdana"/>
          <w:b/>
          <w:bCs/>
          <w:spacing w:val="-2"/>
          <w:sz w:val="22"/>
          <w:szCs w:val="22"/>
          <w:lang w:val="es-ES" w:eastAsia="es-ES"/>
        </w:rPr>
        <w:t>TS</w:t>
      </w:r>
      <w:r w:rsidR="008A6760">
        <w:rPr>
          <w:rFonts w:ascii="Verdana" w:hAnsi="Verdana" w:cs="Verdana"/>
          <w:b/>
          <w:bCs/>
          <w:spacing w:val="-2"/>
          <w:sz w:val="22"/>
          <w:szCs w:val="22"/>
          <w:lang w:val="es-ES" w:eastAsia="es-ES"/>
        </w:rPr>
        <w:t>J</w:t>
      </w:r>
      <w:r>
        <w:rPr>
          <w:rFonts w:ascii="Verdana" w:hAnsi="Verdana" w:cs="Verdana"/>
          <w:b/>
          <w:bCs/>
          <w:spacing w:val="-2"/>
          <w:sz w:val="22"/>
          <w:szCs w:val="22"/>
          <w:lang w:val="es-ES" w:eastAsia="es-ES"/>
        </w:rPr>
        <w:t>-</w:t>
      </w:r>
      <w:r w:rsidR="008A6760">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por lo que puede presentarse al Registro Público a realizar la </w:t>
      </w:r>
      <w:proofErr w:type="spellStart"/>
      <w:r>
        <w:rPr>
          <w:rFonts w:ascii="Verdana" w:hAnsi="Verdana" w:cs="Verdana"/>
          <w:spacing w:val="-2"/>
          <w:sz w:val="22"/>
          <w:szCs w:val="22"/>
          <w:lang w:val="es-ES" w:eastAsia="es-ES"/>
        </w:rPr>
        <w:t>desinscripción</w:t>
      </w:r>
      <w:proofErr w:type="spellEnd"/>
      <w:r>
        <w:rPr>
          <w:rFonts w:ascii="Verdana" w:hAnsi="Verdana" w:cs="Verdana"/>
          <w:spacing w:val="-2"/>
          <w:sz w:val="22"/>
          <w:szCs w:val="22"/>
          <w:lang w:val="es-ES" w:eastAsia="es-ES"/>
        </w:rPr>
        <w:t xml:space="preserve"> del vehículo. </w:t>
      </w:r>
      <w:proofErr w:type="gramStart"/>
      <w:r>
        <w:rPr>
          <w:rFonts w:ascii="Verdana" w:hAnsi="Verdana" w:cs="Verdana"/>
          <w:spacing w:val="-2"/>
          <w:sz w:val="22"/>
          <w:szCs w:val="22"/>
          <w:lang w:val="es-ES" w:eastAsia="es-ES"/>
        </w:rPr>
        <w:t>( ver</w:t>
      </w:r>
      <w:proofErr w:type="gramEnd"/>
      <w:r>
        <w:rPr>
          <w:rFonts w:ascii="Verdana" w:hAnsi="Verdana" w:cs="Verdana"/>
          <w:spacing w:val="-2"/>
          <w:sz w:val="22"/>
          <w:szCs w:val="22"/>
          <w:lang w:val="es-ES" w:eastAsia="es-ES"/>
        </w:rPr>
        <w:t xml:space="preserve"> folio 50 del expediente administrativo)</w:t>
      </w:r>
    </w:p>
    <w:p w:rsidR="00C23030" w:rsidRDefault="00C2238A">
      <w:pPr>
        <w:kinsoku w:val="0"/>
        <w:overflowPunct w:val="0"/>
        <w:autoSpaceDE/>
        <w:autoSpaceDN/>
        <w:adjustRightInd/>
        <w:spacing w:before="272" w:after="637" w:line="270"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TERCERO: </w:t>
      </w:r>
      <w:r>
        <w:rPr>
          <w:rFonts w:ascii="Verdana" w:hAnsi="Verdana" w:cs="Verdana"/>
          <w:spacing w:val="-2"/>
          <w:sz w:val="22"/>
          <w:szCs w:val="22"/>
          <w:lang w:val="es-ES" w:eastAsia="es-ES"/>
        </w:rPr>
        <w:t xml:space="preserve">El recurrente presenta Recurso de Apelación contra el acuerdo impugnado indicando en lo conducente, </w:t>
      </w:r>
      <w:proofErr w:type="gramStart"/>
      <w:r>
        <w:rPr>
          <w:rFonts w:ascii="Verdana" w:hAnsi="Verdana" w:cs="Verdana"/>
          <w:spacing w:val="-2"/>
          <w:sz w:val="22"/>
          <w:szCs w:val="22"/>
          <w:lang w:val="es-ES" w:eastAsia="es-ES"/>
        </w:rPr>
        <w:t>que</w:t>
      </w:r>
      <w:proofErr w:type="gramEnd"/>
      <w:r>
        <w:rPr>
          <w:rFonts w:ascii="Verdana" w:hAnsi="Verdana" w:cs="Verdana"/>
          <w:spacing w:val="-2"/>
          <w:sz w:val="22"/>
          <w:szCs w:val="22"/>
          <w:lang w:val="es-ES" w:eastAsia="es-ES"/>
        </w:rPr>
        <w:t xml:space="preserve"> si bien se le dio cita para el 18 de diciembre de 2015 para la formalización de la concesión, ese mismo día a las nueve horas presentó una reprogramación de la misma en vista de que para el mes de diciembre la Caja de Seguro Social, no realizó trámites de arreglo de Pago y los previó atender hasta los primeros días del mes de enero de 2016. La</w:t>
      </w:r>
    </w:p>
    <w:p w:rsidR="00C23030" w:rsidRDefault="00C23030">
      <w:pPr>
        <w:widowControl/>
        <w:rPr>
          <w:sz w:val="24"/>
          <w:szCs w:val="24"/>
        </w:rPr>
        <w:sectPr w:rsidR="00C23030">
          <w:pgSz w:w="12317" w:h="15763"/>
          <w:pgMar w:top="1480" w:right="1461" w:bottom="241" w:left="1776" w:header="720" w:footer="720" w:gutter="0"/>
          <w:cols w:space="720"/>
          <w:noEndnote/>
        </w:sectPr>
      </w:pPr>
    </w:p>
    <w:p w:rsidR="00C23030" w:rsidRDefault="00C2238A">
      <w:pPr>
        <w:tabs>
          <w:tab w:val="right" w:pos="3024"/>
        </w:tabs>
        <w:kinsoku w:val="0"/>
        <w:overflowPunct w:val="0"/>
        <w:autoSpaceDE/>
        <w:autoSpaceDN/>
        <w:adjustRightInd/>
        <w:spacing w:line="248" w:lineRule="exact"/>
        <w:textAlignment w:val="baseline"/>
        <w:rPr>
          <w:sz w:val="24"/>
          <w:szCs w:val="24"/>
          <w:lang w:val="es-ES" w:eastAsia="es-ES"/>
        </w:rPr>
      </w:pPr>
      <w:r>
        <w:rPr>
          <w:sz w:val="24"/>
          <w:szCs w:val="24"/>
          <w:lang w:val="es-ES" w:eastAsia="es-ES"/>
        </w:rPr>
        <w:tab/>
      </w:r>
    </w:p>
    <w:p w:rsidR="00C23030" w:rsidRDefault="00C23030">
      <w:pPr>
        <w:widowControl/>
        <w:rPr>
          <w:sz w:val="24"/>
          <w:szCs w:val="24"/>
        </w:rPr>
        <w:sectPr w:rsidR="00C23030">
          <w:type w:val="continuous"/>
          <w:pgSz w:w="12317" w:h="15763"/>
          <w:pgMar w:top="1480" w:right="1625" w:bottom="241" w:left="7632" w:header="720" w:footer="720" w:gutter="0"/>
          <w:cols w:space="720"/>
          <w:noEndnote/>
        </w:sectPr>
      </w:pPr>
    </w:p>
    <w:p w:rsidR="00C23030" w:rsidRDefault="00C2238A">
      <w:pPr>
        <w:kinsoku w:val="0"/>
        <w:overflowPunct w:val="0"/>
        <w:autoSpaceDE/>
        <w:autoSpaceDN/>
        <w:adjustRightInd/>
        <w:spacing w:before="8"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funcionaria del Consejo de Transporte Público, Susan Fallas Rodríguez, fue quien le indicó pidiera la reprogramación y le dijo que en días próximos le comunicarían a su correo electrónico lo pertinente, pero nunca recibió la nueva cita, por lo que se presentó en varias ocasiones a preguntar, pero nunca se le dio una respuesta satisfactoria. El oficio que recurre el </w:t>
      </w:r>
      <w:r>
        <w:rPr>
          <w:rFonts w:ascii="Verdana" w:hAnsi="Verdana" w:cs="Verdana"/>
          <w:b/>
          <w:bCs/>
          <w:sz w:val="22"/>
          <w:szCs w:val="22"/>
          <w:lang w:val="es-ES" w:eastAsia="es-ES"/>
        </w:rPr>
        <w:t xml:space="preserve">DACP-PT-2017-685 de 10 de setiembre de 2017 </w:t>
      </w:r>
      <w:r>
        <w:rPr>
          <w:rFonts w:ascii="Verdana" w:hAnsi="Verdana" w:cs="Verdana"/>
          <w:sz w:val="22"/>
          <w:szCs w:val="22"/>
          <w:lang w:val="es-ES" w:eastAsia="es-ES"/>
        </w:rPr>
        <w:t>del Departamento de Administración de Concesiones y Permisos, le refiere a un acuerdo de cancelación de la concesión el que nunca se le ha notificado, constituyéndose en una violación al debido proceso, así como también es una transgresión al mismo el no habérsele resuelto su gestión de reprogramación de la cita, lo que lo deja en estado de indefensión. Solicita se revoque la decisión adoptada. (Léase folios del 10 al 12 del expediente administrativo)</w:t>
      </w:r>
    </w:p>
    <w:p w:rsidR="00C23030" w:rsidRDefault="00C2238A">
      <w:pPr>
        <w:kinsoku w:val="0"/>
        <w:overflowPunct w:val="0"/>
        <w:autoSpaceDE/>
        <w:autoSpaceDN/>
        <w:adjustRightInd/>
        <w:spacing w:before="282" w:line="26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7.4.4 de la Sesión Ordinaria 43-2017 de 8 de noviembre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DAJ-2017-002713 de 2 de noviembre de 2017 y rechaza el Recurso de Revocatoria y la Nulidad invocadas por improcedente. </w:t>
      </w:r>
      <w:r>
        <w:rPr>
          <w:rFonts w:ascii="Verdana" w:hAnsi="Verdana" w:cs="Verdana"/>
          <w:sz w:val="22"/>
          <w:szCs w:val="22"/>
          <w:lang w:val="es-ES" w:eastAsia="es-ES"/>
        </w:rPr>
        <w:t>(Léanse folios del 2 al 7 del expediente administrativo)</w:t>
      </w:r>
    </w:p>
    <w:p w:rsidR="00C23030" w:rsidRDefault="00C2238A">
      <w:pPr>
        <w:kinsoku w:val="0"/>
        <w:overflowPunct w:val="0"/>
        <w:autoSpaceDE/>
        <w:autoSpaceDN/>
        <w:adjustRightInd/>
        <w:spacing w:before="259"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El Consejo de Transporte Público, cita el 2 de diciembre de 2014 a las </w:t>
      </w:r>
      <w:r w:rsidRPr="008A6760">
        <w:rPr>
          <w:rFonts w:ascii="Verdana" w:hAnsi="Verdana" w:cs="Verdana"/>
          <w:sz w:val="22"/>
          <w:szCs w:val="22"/>
          <w:lang w:val="es-ES" w:eastAsia="es-ES"/>
        </w:rPr>
        <w:t xml:space="preserve">12:34 horas al correo </w:t>
      </w:r>
      <w:hyperlink r:id="rId5" w:history="1">
        <w:proofErr w:type="spellStart"/>
        <w:r w:rsidR="008A6760" w:rsidRPr="008A6760">
          <w:rPr>
            <w:sz w:val="25"/>
            <w:szCs w:val="25"/>
            <w:u w:val="single"/>
            <w:lang w:val="es-ES" w:eastAsia="es-ES"/>
          </w:rPr>
          <w:t>xxxxx</w:t>
        </w:r>
        <w:r w:rsidRPr="008A6760">
          <w:rPr>
            <w:sz w:val="25"/>
            <w:szCs w:val="25"/>
            <w:u w:val="single"/>
            <w:lang w:val="es-ES" w:eastAsia="es-ES"/>
          </w:rPr>
          <w:t>@</w:t>
        </w:r>
      </w:hyperlink>
      <w:r w:rsidR="008A6760" w:rsidRPr="008A6760">
        <w:rPr>
          <w:sz w:val="25"/>
          <w:szCs w:val="25"/>
          <w:u w:val="single"/>
          <w:lang w:val="es-ES" w:eastAsia="es-ES"/>
        </w:rPr>
        <w:t>xxxxxxxxxxx</w:t>
      </w:r>
      <w:proofErr w:type="spellEnd"/>
      <w:r w:rsidRPr="008A6760">
        <w:rPr>
          <w:sz w:val="25"/>
          <w:szCs w:val="25"/>
          <w:lang w:val="es-ES" w:eastAsia="es-ES"/>
        </w:rPr>
        <w:t xml:space="preserve"> ( </w:t>
      </w:r>
      <w:r w:rsidRPr="008A6760">
        <w:rPr>
          <w:rFonts w:ascii="Verdana" w:hAnsi="Verdana" w:cs="Verdana"/>
          <w:sz w:val="22"/>
          <w:szCs w:val="22"/>
          <w:lang w:val="es-ES" w:eastAsia="es-ES"/>
        </w:rPr>
        <w:t>el cual es el indicado por el</w:t>
      </w:r>
      <w:r>
        <w:rPr>
          <w:rFonts w:ascii="Verdana" w:hAnsi="Verdana" w:cs="Verdana"/>
          <w:sz w:val="22"/>
          <w:szCs w:val="22"/>
          <w:lang w:val="es-ES" w:eastAsia="es-ES"/>
        </w:rPr>
        <w:t xml:space="preserve"> recurrente en la hoja denominada Formulario para la renovación de concesiones de Taxi) al señor </w:t>
      </w:r>
      <w:r>
        <w:rPr>
          <w:rFonts w:ascii="Verdana" w:hAnsi="Verdana" w:cs="Verdana"/>
          <w:b/>
          <w:bCs/>
          <w:sz w:val="22"/>
          <w:szCs w:val="22"/>
          <w:lang w:val="es-ES" w:eastAsia="es-ES"/>
        </w:rPr>
        <w:t>A</w:t>
      </w:r>
      <w:r w:rsidR="008A6760">
        <w:rPr>
          <w:rFonts w:ascii="Verdana" w:hAnsi="Verdana" w:cs="Verdana"/>
          <w:b/>
          <w:bCs/>
          <w:sz w:val="22"/>
          <w:szCs w:val="22"/>
          <w:lang w:val="es-ES" w:eastAsia="es-ES"/>
        </w:rPr>
        <w:t>.N.V.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para que proceda a la formalización del contrato de concesión el día 8 de diciembre de 2014 a las 13:00 horas, misma a la que no se presentó. Se le vuelve a citar por parte del CTP el 9 de diciembre de 2015 a </w:t>
      </w:r>
      <w:r w:rsidRPr="008A6760">
        <w:rPr>
          <w:rFonts w:ascii="Verdana" w:hAnsi="Verdana" w:cs="Verdana"/>
          <w:sz w:val="22"/>
          <w:szCs w:val="22"/>
          <w:lang w:val="es-ES" w:eastAsia="es-ES"/>
        </w:rPr>
        <w:t xml:space="preserve">las 15:33 horas al correo </w:t>
      </w:r>
      <w:hyperlink r:id="rId6" w:history="1">
        <w:proofErr w:type="spellStart"/>
        <w:r w:rsidR="008A6760" w:rsidRPr="008A6760">
          <w:rPr>
            <w:sz w:val="25"/>
            <w:szCs w:val="25"/>
            <w:u w:val="single"/>
            <w:lang w:val="es-ES" w:eastAsia="es-ES"/>
          </w:rPr>
          <w:t>xxxxxx</w:t>
        </w:r>
        <w:r w:rsidRPr="008A6760">
          <w:rPr>
            <w:sz w:val="25"/>
            <w:szCs w:val="25"/>
            <w:u w:val="single"/>
            <w:lang w:val="es-ES" w:eastAsia="es-ES"/>
          </w:rPr>
          <w:t>@</w:t>
        </w:r>
      </w:hyperlink>
      <w:r w:rsidR="008A6760" w:rsidRPr="008A6760">
        <w:rPr>
          <w:sz w:val="25"/>
          <w:szCs w:val="25"/>
          <w:u w:val="single"/>
          <w:lang w:val="es-ES" w:eastAsia="es-ES"/>
        </w:rPr>
        <w:t>xxxxxxxxx</w:t>
      </w:r>
      <w:proofErr w:type="spellEnd"/>
      <w:r w:rsidRPr="008A6760">
        <w:rPr>
          <w:rFonts w:ascii="Verdana" w:hAnsi="Verdana" w:cs="Verdana"/>
          <w:sz w:val="22"/>
          <w:szCs w:val="22"/>
          <w:lang w:val="es-ES" w:eastAsia="es-ES"/>
        </w:rPr>
        <w:t xml:space="preserve"> para que proceda a la</w:t>
      </w:r>
      <w:r>
        <w:rPr>
          <w:rFonts w:ascii="Verdana" w:hAnsi="Verdana" w:cs="Verdana"/>
          <w:sz w:val="22"/>
          <w:szCs w:val="22"/>
          <w:lang w:val="es-ES" w:eastAsia="es-ES"/>
        </w:rPr>
        <w:t xml:space="preserve"> formalización del contrato de concesión el día 18 de diciembre de 2015 a las 10:30 horas, misma a la que no se presentó, pero ese día a las 9:00 de la mañana, presenta nota a mano en la que dice que el documento que se le solicita, no lo puede aportar dado que en la C.C.S.S. le dicen que hasta enero puede presentar lo del arreglo de pago. (ver folios 68 vuelto, 73, 74 vuelto y 89 del expediente administrativo)</w:t>
      </w:r>
    </w:p>
    <w:p w:rsidR="00C23030" w:rsidRDefault="00C2238A">
      <w:pPr>
        <w:kinsoku w:val="0"/>
        <w:overflowPunct w:val="0"/>
        <w:autoSpaceDE/>
        <w:autoSpaceDN/>
        <w:adjustRightInd/>
        <w:spacing w:before="266" w:line="267"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SEXTO: </w:t>
      </w:r>
      <w:r>
        <w:rPr>
          <w:rFonts w:ascii="Verdana" w:hAnsi="Verdana" w:cs="Verdana"/>
          <w:spacing w:val="1"/>
          <w:sz w:val="22"/>
          <w:szCs w:val="22"/>
          <w:lang w:val="es-ES" w:eastAsia="es-ES"/>
        </w:rPr>
        <w:t xml:space="preserve">El Tribunal Administrativo de Transportes previno al recurrente para que se </w:t>
      </w:r>
      <w:proofErr w:type="spellStart"/>
      <w:r>
        <w:rPr>
          <w:rFonts w:ascii="Verdana" w:hAnsi="Verdana" w:cs="Verdana"/>
          <w:spacing w:val="1"/>
          <w:sz w:val="22"/>
          <w:szCs w:val="22"/>
          <w:lang w:val="es-ES" w:eastAsia="es-ES"/>
        </w:rPr>
        <w:t>manifeste</w:t>
      </w:r>
      <w:proofErr w:type="spellEnd"/>
      <w:r>
        <w:rPr>
          <w:rFonts w:ascii="Verdana" w:hAnsi="Verdana" w:cs="Verdana"/>
          <w:spacing w:val="1"/>
          <w:sz w:val="22"/>
          <w:szCs w:val="22"/>
          <w:lang w:val="es-ES" w:eastAsia="es-ES"/>
        </w:rPr>
        <w:t>, si lo consideraba pertinente sobre el acuerdo que le rechaza el recurso de Revocatoria y no lo hizo. (ver folio 28 del expediente administrativo)</w:t>
      </w:r>
    </w:p>
    <w:p w:rsidR="00C23030" w:rsidRDefault="00C2238A">
      <w:pPr>
        <w:kinsoku w:val="0"/>
        <w:overflowPunct w:val="0"/>
        <w:autoSpaceDE/>
        <w:autoSpaceDN/>
        <w:adjustRightInd/>
        <w:spacing w:before="249" w:line="28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SETIEMO: </w:t>
      </w:r>
      <w:r>
        <w:rPr>
          <w:rFonts w:ascii="Verdana" w:hAnsi="Verdana" w:cs="Verdana"/>
          <w:sz w:val="22"/>
          <w:szCs w:val="22"/>
          <w:lang w:val="es-ES" w:eastAsia="es-ES"/>
        </w:rPr>
        <w:t>En los procedimientos seguidos se han observado las prescripciones legales.</w:t>
      </w:r>
    </w:p>
    <w:p w:rsidR="00C23030" w:rsidRDefault="00C2238A">
      <w:pPr>
        <w:kinsoku w:val="0"/>
        <w:overflowPunct w:val="0"/>
        <w:autoSpaceDE/>
        <w:autoSpaceDN/>
        <w:adjustRightInd/>
        <w:spacing w:before="539" w:after="1670" w:line="267"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C23030" w:rsidRDefault="00C23030">
      <w:pPr>
        <w:widowControl/>
        <w:rPr>
          <w:sz w:val="24"/>
          <w:szCs w:val="24"/>
        </w:rPr>
        <w:sectPr w:rsidR="00C23030">
          <w:pgSz w:w="12317" w:h="15763"/>
          <w:pgMar w:top="1300" w:right="1618" w:bottom="327" w:left="1619" w:header="720" w:footer="720" w:gutter="0"/>
          <w:cols w:space="720"/>
          <w:noEndnote/>
        </w:sectPr>
      </w:pPr>
    </w:p>
    <w:p w:rsidR="00C23030" w:rsidRDefault="00C2238A">
      <w:pPr>
        <w:kinsoku w:val="0"/>
        <w:overflowPunct w:val="0"/>
        <w:autoSpaceDE/>
        <w:autoSpaceDN/>
        <w:adjustRightInd/>
        <w:spacing w:before="7" w:line="270"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 ÚNICO</w:t>
      </w:r>
    </w:p>
    <w:p w:rsidR="00C23030" w:rsidRDefault="00C2238A">
      <w:pPr>
        <w:numPr>
          <w:ilvl w:val="0"/>
          <w:numId w:val="1"/>
        </w:numPr>
        <w:kinsoku w:val="0"/>
        <w:overflowPunct w:val="0"/>
        <w:autoSpaceDE/>
        <w:autoSpaceDN/>
        <w:adjustRightInd/>
        <w:spacing w:before="531" w:line="271"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 xml:space="preserve">El </w:t>
      </w:r>
      <w:r>
        <w:rPr>
          <w:rFonts w:ascii="Verdana" w:hAnsi="Verdana" w:cs="Verdana"/>
          <w:sz w:val="18"/>
          <w:szCs w:val="18"/>
          <w:lang w:val="es-ES" w:eastAsia="es-ES"/>
        </w:rPr>
        <w:t xml:space="preserve">TRIBUNAL ADMINISTRATIVO DE TRANSPORTE </w:t>
      </w:r>
      <w:r>
        <w:rPr>
          <w:rFonts w:ascii="Verdana" w:hAnsi="Verdana" w:cs="Verdana"/>
          <w:sz w:val="22"/>
          <w:szCs w:val="22"/>
          <w:lang w:val="es-ES" w:eastAsia="es-ES"/>
        </w:rPr>
        <w:t>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C23030" w:rsidRDefault="00C2238A">
      <w:pPr>
        <w:numPr>
          <w:ilvl w:val="0"/>
          <w:numId w:val="1"/>
        </w:numPr>
        <w:kinsoku w:val="0"/>
        <w:overflowPunct w:val="0"/>
        <w:autoSpaceDE/>
        <w:autoSpaceDN/>
        <w:adjustRightInd/>
        <w:spacing w:before="255" w:line="271"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ADMISIBILIDAD DEL RECURSO: </w:t>
      </w:r>
      <w:r>
        <w:rPr>
          <w:rFonts w:ascii="Verdana" w:hAnsi="Verdana" w:cs="Verdana"/>
          <w:b/>
          <w:bCs/>
          <w:spacing w:val="-4"/>
          <w:sz w:val="22"/>
          <w:szCs w:val="22"/>
          <w:u w:val="single"/>
          <w:lang w:val="es-ES" w:eastAsia="es-ES"/>
        </w:rPr>
        <w:t>Legitimación:</w:t>
      </w:r>
      <w:r>
        <w:rPr>
          <w:rFonts w:ascii="Verdana" w:hAnsi="Verdana" w:cs="Verdana"/>
          <w:spacing w:val="-4"/>
          <w:sz w:val="22"/>
          <w:szCs w:val="22"/>
          <w:lang w:val="es-ES" w:eastAsia="es-ES"/>
        </w:rPr>
        <w:t xml:space="preserve"> A </w:t>
      </w:r>
      <w:r>
        <w:rPr>
          <w:rFonts w:ascii="Verdana" w:hAnsi="Verdana" w:cs="Verdana"/>
          <w:b/>
          <w:bCs/>
          <w:spacing w:val="-4"/>
          <w:sz w:val="22"/>
          <w:szCs w:val="22"/>
          <w:lang w:val="es-ES" w:eastAsia="es-ES"/>
        </w:rPr>
        <w:t>A</w:t>
      </w:r>
      <w:r w:rsidR="008A6760">
        <w:rPr>
          <w:rFonts w:ascii="Verdana" w:hAnsi="Verdana" w:cs="Verdana"/>
          <w:b/>
          <w:bCs/>
          <w:spacing w:val="-4"/>
          <w:sz w:val="22"/>
          <w:szCs w:val="22"/>
          <w:lang w:val="es-ES" w:eastAsia="es-ES"/>
        </w:rPr>
        <w:t>.G.N.V.</w:t>
      </w:r>
      <w:r>
        <w:rPr>
          <w:rFonts w:ascii="Verdana" w:hAnsi="Verdana" w:cs="Verdana"/>
          <w:b/>
          <w:bCs/>
          <w:spacing w:val="-4"/>
          <w:sz w:val="22"/>
          <w:szCs w:val="22"/>
          <w:lang w:val="es-ES" w:eastAsia="es-ES"/>
        </w:rPr>
        <w:t xml:space="preserve">, cédula de identidad número </w:t>
      </w:r>
      <w:r w:rsidR="008A6760">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le caducaron con el acuerdo impugnado, la concesión de taxi </w:t>
      </w:r>
      <w:r>
        <w:rPr>
          <w:rFonts w:ascii="Verdana" w:hAnsi="Verdana" w:cs="Verdana"/>
          <w:b/>
          <w:bCs/>
          <w:spacing w:val="-4"/>
          <w:sz w:val="22"/>
          <w:szCs w:val="22"/>
          <w:lang w:val="es-ES" w:eastAsia="es-ES"/>
        </w:rPr>
        <w:t>TS</w:t>
      </w:r>
      <w:r w:rsidR="008A6760">
        <w:rPr>
          <w:rFonts w:ascii="Verdana" w:hAnsi="Verdana" w:cs="Verdana"/>
          <w:b/>
          <w:bCs/>
          <w:spacing w:val="-4"/>
          <w:sz w:val="22"/>
          <w:szCs w:val="22"/>
          <w:lang w:val="es-ES" w:eastAsia="es-ES"/>
        </w:rPr>
        <w:t>J</w:t>
      </w:r>
      <w:r>
        <w:rPr>
          <w:rFonts w:ascii="Verdana" w:hAnsi="Verdana" w:cs="Verdana"/>
          <w:b/>
          <w:bCs/>
          <w:spacing w:val="-4"/>
          <w:sz w:val="22"/>
          <w:szCs w:val="22"/>
          <w:lang w:val="es-ES" w:eastAsia="es-ES"/>
        </w:rPr>
        <w:t>-</w:t>
      </w:r>
      <w:r w:rsidR="008A6760">
        <w:rPr>
          <w:rFonts w:ascii="Verdana" w:hAnsi="Verdana" w:cs="Verdana"/>
          <w:b/>
          <w:bCs/>
          <w:spacing w:val="-4"/>
          <w:sz w:val="22"/>
          <w:szCs w:val="22"/>
          <w:lang w:val="es-ES" w:eastAsia="es-ES"/>
        </w:rPr>
        <w:t>XXXX</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por lo que cuenta con la legitimación necesaria para actuar en el presente asunto. </w:t>
      </w:r>
      <w:r>
        <w:rPr>
          <w:rFonts w:ascii="Verdana" w:hAnsi="Verdana" w:cs="Verdana"/>
          <w:b/>
          <w:bCs/>
          <w:spacing w:val="-4"/>
          <w:sz w:val="22"/>
          <w:szCs w:val="22"/>
          <w:lang w:val="es-ES" w:eastAsia="es-ES"/>
        </w:rPr>
        <w:t xml:space="preserve">En </w:t>
      </w:r>
      <w:r>
        <w:rPr>
          <w:rFonts w:ascii="Verdana" w:hAnsi="Verdana" w:cs="Verdana"/>
          <w:b/>
          <w:bCs/>
          <w:spacing w:val="-4"/>
          <w:sz w:val="22"/>
          <w:szCs w:val="22"/>
          <w:u w:val="single"/>
          <w:lang w:val="es-ES" w:eastAsia="es-ES"/>
        </w:rPr>
        <w:t>cuanto al plazo:</w:t>
      </w:r>
      <w:r>
        <w:rPr>
          <w:rFonts w:ascii="Verdana" w:hAnsi="Verdana" w:cs="Verdana"/>
          <w:spacing w:val="-4"/>
          <w:sz w:val="22"/>
          <w:szCs w:val="22"/>
          <w:lang w:val="es-ES" w:eastAsia="es-ES"/>
        </w:rPr>
        <w:t xml:space="preserve"> El Recurso de Apelación fue presentado fuera del plazo legal de cinco días establecido en el artículo 11 de la Ley N. 7969, ya que el acuerdo fue notificado el día 16 de febrero de 2017 ver folio 18 del expediente y el recurso fue presentado el 29 mayo del mismo año ver folio 10.</w:t>
      </w:r>
    </w:p>
    <w:p w:rsidR="00C23030" w:rsidRDefault="00C2238A">
      <w:pPr>
        <w:kinsoku w:val="0"/>
        <w:overflowPunct w:val="0"/>
        <w:autoSpaceDE/>
        <w:autoSpaceDN/>
        <w:adjustRightInd/>
        <w:spacing w:before="262" w:line="271"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este sentido, el artículo 11 de la Ley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7969, establece en lo que interesa:</w:t>
      </w:r>
    </w:p>
    <w:p w:rsidR="00C23030" w:rsidRDefault="00C2238A">
      <w:pPr>
        <w:kinsoku w:val="0"/>
        <w:overflowPunct w:val="0"/>
        <w:autoSpaceDE/>
        <w:autoSpaceDN/>
        <w:adjustRightInd/>
        <w:spacing w:before="303" w:line="243" w:lineRule="exact"/>
        <w:ind w:left="72" w:right="72"/>
        <w:jc w:val="both"/>
        <w:textAlignment w:val="baseline"/>
        <w:rPr>
          <w:rFonts w:ascii="Verdana" w:hAnsi="Verdana" w:cs="Verdana"/>
          <w:i/>
          <w:iCs/>
          <w:spacing w:val="-11"/>
          <w:sz w:val="22"/>
          <w:szCs w:val="22"/>
          <w:lang w:val="es-ES" w:eastAsia="es-ES"/>
        </w:rPr>
      </w:pPr>
      <w:r>
        <w:rPr>
          <w:rFonts w:ascii="Verdana" w:hAnsi="Verdana" w:cs="Verdana"/>
          <w:i/>
          <w:iCs/>
          <w:spacing w:val="-11"/>
          <w:sz w:val="22"/>
          <w:szCs w:val="22"/>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C23030" w:rsidRDefault="00C2238A">
      <w:pPr>
        <w:kinsoku w:val="0"/>
        <w:overflowPunct w:val="0"/>
        <w:autoSpaceDE/>
        <w:autoSpaceDN/>
        <w:adjustRightInd/>
        <w:spacing w:before="279"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w:t>
      </w:r>
    </w:p>
    <w:p w:rsidR="00C23030" w:rsidRDefault="00C2238A">
      <w:pPr>
        <w:kinsoku w:val="0"/>
        <w:overflowPunct w:val="0"/>
        <w:autoSpaceDE/>
        <w:autoSpaceDN/>
        <w:adjustRightInd/>
        <w:spacing w:before="223"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recurrente indica que en su líbelo, que el acto recurrido nunca le fue comunicado, sin embargo ni aportó pruebas de su dicho, de hecho el Tribunal Administrativo de Transporte lo previno para que se manifestara, si lo consideraba pertinente sobre el acuerdo que le rechaza el Recurso de Revocatoria y no lo hizo, sin embargo, el CTP eleva el expediente solicitado, y de este se extrae que al señor </w:t>
      </w:r>
      <w:r>
        <w:rPr>
          <w:rFonts w:ascii="Verdana" w:hAnsi="Verdana" w:cs="Verdana"/>
          <w:b/>
          <w:bCs/>
          <w:sz w:val="22"/>
          <w:szCs w:val="22"/>
          <w:lang w:val="es-ES" w:eastAsia="es-ES"/>
        </w:rPr>
        <w:t>A</w:t>
      </w:r>
      <w:r w:rsidR="008A6760">
        <w:rPr>
          <w:rFonts w:ascii="Verdana" w:hAnsi="Verdana" w:cs="Verdana"/>
          <w:b/>
          <w:bCs/>
          <w:sz w:val="22"/>
          <w:szCs w:val="22"/>
          <w:lang w:val="es-ES" w:eastAsia="es-ES"/>
        </w:rPr>
        <w:t>.G.N.V.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siempre se le notificó, al correo </w:t>
      </w:r>
      <w:hyperlink r:id="rId7" w:history="1">
        <w:proofErr w:type="spellStart"/>
        <w:r w:rsidR="008A6760" w:rsidRPr="008A6760">
          <w:rPr>
            <w:rFonts w:ascii="Verdana" w:hAnsi="Verdana" w:cs="Verdana"/>
            <w:sz w:val="22"/>
            <w:szCs w:val="22"/>
            <w:u w:val="single"/>
            <w:lang w:val="es-ES" w:eastAsia="es-ES"/>
          </w:rPr>
          <w:t>xxxx</w:t>
        </w:r>
        <w:r w:rsidRPr="008A6760">
          <w:rPr>
            <w:rFonts w:ascii="Verdana" w:hAnsi="Verdana" w:cs="Verdana"/>
            <w:sz w:val="22"/>
            <w:szCs w:val="22"/>
            <w:u w:val="single"/>
            <w:lang w:val="es-ES" w:eastAsia="es-ES"/>
          </w:rPr>
          <w:t>@</w:t>
        </w:r>
        <w:r w:rsidR="008A6760" w:rsidRPr="008A6760">
          <w:rPr>
            <w:rFonts w:ascii="Verdana" w:hAnsi="Verdana" w:cs="Verdana"/>
            <w:sz w:val="22"/>
            <w:szCs w:val="22"/>
            <w:u w:val="single"/>
            <w:lang w:val="es-ES" w:eastAsia="es-ES"/>
          </w:rPr>
          <w:t>xxxxxxxxx</w:t>
        </w:r>
        <w:proofErr w:type="spellEnd"/>
      </w:hyperlink>
      <w:r w:rsidRPr="008A6760">
        <w:rPr>
          <w:rFonts w:ascii="Verdana" w:hAnsi="Verdana" w:cs="Verdana"/>
          <w:sz w:val="22"/>
          <w:szCs w:val="22"/>
          <w:u w:val="single"/>
          <w:lang w:val="es-ES" w:eastAsia="es-ES"/>
        </w:rPr>
        <w:t>,</w:t>
      </w:r>
      <w:r w:rsidRPr="008A6760">
        <w:rPr>
          <w:rFonts w:ascii="Verdana" w:hAnsi="Verdana" w:cs="Verdana"/>
          <w:sz w:val="22"/>
          <w:szCs w:val="22"/>
          <w:lang w:val="es-ES" w:eastAsia="es-ES"/>
        </w:rPr>
        <w:t xml:space="preserve"> no encontrándose ni aportándose en la especie documento</w:t>
      </w:r>
      <w:r>
        <w:rPr>
          <w:rFonts w:ascii="Verdana" w:hAnsi="Verdana" w:cs="Verdana"/>
          <w:sz w:val="22"/>
          <w:szCs w:val="22"/>
          <w:lang w:val="es-ES" w:eastAsia="es-ES"/>
        </w:rPr>
        <w:t xml:space="preserve"> que demuestre que lo haya cambiado antes de la notificación del acto impugnado, por lo que los argumentos no son de recibo y debe rechazarse el recurso por extemporáneo.</w:t>
      </w:r>
    </w:p>
    <w:p w:rsidR="00C23030" w:rsidRDefault="00C2238A">
      <w:pPr>
        <w:kinsoku w:val="0"/>
        <w:overflowPunct w:val="0"/>
        <w:autoSpaceDE/>
        <w:autoSpaceDN/>
        <w:adjustRightInd/>
        <w:spacing w:before="240"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al </w:t>
      </w:r>
      <w:r>
        <w:rPr>
          <w:rFonts w:ascii="Verdana" w:hAnsi="Verdana" w:cs="Verdana"/>
          <w:b/>
          <w:bCs/>
          <w:sz w:val="22"/>
          <w:szCs w:val="22"/>
          <w:lang w:val="es-ES" w:eastAsia="es-ES"/>
        </w:rPr>
        <w:t xml:space="preserve">oficio DACP-PT-2017-685 de 10 de setiembre de 2017 del Departamento de Administración de Concesiones y Permisos del CTP, </w:t>
      </w:r>
      <w:r>
        <w:rPr>
          <w:rFonts w:ascii="Verdana" w:hAnsi="Verdana" w:cs="Verdana"/>
          <w:sz w:val="22"/>
          <w:szCs w:val="22"/>
          <w:lang w:val="es-ES" w:eastAsia="es-ES"/>
        </w:rPr>
        <w:t xml:space="preserve">que se recurre también, el mismo por su naturaleza es una acto de trámite y por lo tanto es inimpugnable, pues lo que hace es informar al señor </w:t>
      </w:r>
      <w:r>
        <w:rPr>
          <w:rFonts w:ascii="Verdana" w:hAnsi="Verdana" w:cs="Verdana"/>
          <w:b/>
          <w:bCs/>
          <w:sz w:val="22"/>
          <w:szCs w:val="22"/>
          <w:lang w:val="es-ES" w:eastAsia="es-ES"/>
        </w:rPr>
        <w:t>N</w:t>
      </w:r>
      <w:r w:rsidR="008A6760">
        <w:rPr>
          <w:rFonts w:ascii="Verdana" w:hAnsi="Verdana" w:cs="Verdana"/>
          <w:b/>
          <w:bCs/>
          <w:sz w:val="22"/>
          <w:szCs w:val="22"/>
          <w:lang w:val="es-ES" w:eastAsia="es-ES"/>
        </w:rPr>
        <w:t>.V.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que puede proceder a la </w:t>
      </w:r>
      <w:proofErr w:type="spellStart"/>
      <w:r>
        <w:rPr>
          <w:rFonts w:ascii="Verdana" w:hAnsi="Verdana" w:cs="Verdana"/>
          <w:sz w:val="22"/>
          <w:szCs w:val="22"/>
          <w:lang w:val="es-ES" w:eastAsia="es-ES"/>
        </w:rPr>
        <w:t>desinscribir</w:t>
      </w:r>
      <w:proofErr w:type="spellEnd"/>
      <w:r>
        <w:rPr>
          <w:rFonts w:ascii="Verdana" w:hAnsi="Verdana" w:cs="Verdana"/>
          <w:sz w:val="22"/>
          <w:szCs w:val="22"/>
          <w:lang w:val="es-ES" w:eastAsia="es-ES"/>
        </w:rPr>
        <w:t xml:space="preserve"> el vehículo que presta la concesión, ante el Registro de la Propiedad, toda vez que se constató que el acto administrativo había quedado en firme al no haber sido recurrido, por lo que el oficio dicho fue bien emitido y por lo tanto debe rechazarse la impugnación en este sentido.</w:t>
      </w:r>
    </w:p>
    <w:p w:rsidR="00C23030" w:rsidRDefault="00C2238A">
      <w:pPr>
        <w:tabs>
          <w:tab w:val="right" w:pos="9000"/>
        </w:tabs>
        <w:kinsoku w:val="0"/>
        <w:overflowPunct w:val="0"/>
        <w:autoSpaceDE/>
        <w:autoSpaceDN/>
        <w:adjustRightInd/>
        <w:spacing w:before="927" w:line="281" w:lineRule="exact"/>
        <w:ind w:left="5904" w:right="72"/>
        <w:textAlignment w:val="baseline"/>
        <w:rPr>
          <w:sz w:val="24"/>
          <w:szCs w:val="24"/>
          <w:lang w:val="es-ES" w:eastAsia="es-ES"/>
        </w:rPr>
      </w:pPr>
      <w:r>
        <w:rPr>
          <w:sz w:val="24"/>
          <w:szCs w:val="24"/>
          <w:lang w:val="es-ES" w:eastAsia="es-ES"/>
        </w:rPr>
        <w:tab/>
      </w:r>
    </w:p>
    <w:p w:rsidR="00C23030" w:rsidRDefault="00C23030">
      <w:pPr>
        <w:widowControl/>
        <w:rPr>
          <w:sz w:val="24"/>
          <w:szCs w:val="24"/>
        </w:rPr>
        <w:sectPr w:rsidR="00C23030">
          <w:pgSz w:w="12312" w:h="15821"/>
          <w:pgMar w:top="1500" w:right="1524" w:bottom="230" w:left="1708" w:header="720" w:footer="720" w:gutter="0"/>
          <w:cols w:space="720"/>
          <w:noEndnote/>
        </w:sectPr>
      </w:pPr>
    </w:p>
    <w:p w:rsidR="00C23030" w:rsidRDefault="00C2238A">
      <w:pPr>
        <w:kinsoku w:val="0"/>
        <w:overflowPunct w:val="0"/>
        <w:autoSpaceDE/>
        <w:autoSpaceDN/>
        <w:adjustRightInd/>
        <w:spacing w:before="9" w:after="280" w:line="256" w:lineRule="exact"/>
        <w:jc w:val="center"/>
        <w:textAlignment w:val="baseline"/>
        <w:rPr>
          <w:rFonts w:ascii="Tahoma" w:hAnsi="Tahoma" w:cs="Tahoma"/>
          <w:b/>
          <w:bCs/>
          <w:spacing w:val="13"/>
          <w:sz w:val="22"/>
          <w:szCs w:val="22"/>
          <w:lang w:val="es-ES" w:eastAsia="es-ES"/>
        </w:rPr>
      </w:pPr>
      <w:r>
        <w:rPr>
          <w:rFonts w:ascii="Tahoma" w:hAnsi="Tahoma" w:cs="Tahoma"/>
          <w:b/>
          <w:bCs/>
          <w:spacing w:val="13"/>
          <w:sz w:val="22"/>
          <w:szCs w:val="22"/>
          <w:lang w:val="es-ES" w:eastAsia="es-ES"/>
        </w:rPr>
        <w:lastRenderedPageBreak/>
        <w:t>POR TANTO</w:t>
      </w:r>
    </w:p>
    <w:p w:rsidR="00C23030" w:rsidRDefault="00C23030">
      <w:pPr>
        <w:widowControl/>
        <w:rPr>
          <w:sz w:val="24"/>
          <w:szCs w:val="24"/>
        </w:rPr>
        <w:sectPr w:rsidR="00C23030">
          <w:pgSz w:w="12312" w:h="15821"/>
          <w:pgMar w:top="1600" w:right="4644" w:bottom="345" w:left="4588" w:header="720" w:footer="720" w:gutter="0"/>
          <w:cols w:space="720"/>
          <w:noEndnote/>
        </w:sectPr>
      </w:pPr>
    </w:p>
    <w:p w:rsidR="00C23030" w:rsidRDefault="00C2238A">
      <w:pPr>
        <w:numPr>
          <w:ilvl w:val="0"/>
          <w:numId w:val="2"/>
        </w:numPr>
        <w:kinsoku w:val="0"/>
        <w:overflowPunct w:val="0"/>
        <w:autoSpaceDE/>
        <w:autoSpaceDN/>
        <w:adjustRightInd/>
        <w:spacing w:before="1" w:line="267" w:lineRule="exact"/>
        <w:ind w:right="72"/>
        <w:jc w:val="both"/>
        <w:textAlignment w:val="baseline"/>
        <w:rPr>
          <w:rFonts w:ascii="Tahoma" w:hAnsi="Tahoma" w:cs="Tahoma"/>
          <w:spacing w:val="6"/>
          <w:sz w:val="22"/>
          <w:szCs w:val="22"/>
          <w:lang w:val="es-ES" w:eastAsia="es-ES"/>
        </w:rPr>
      </w:pPr>
      <w:r>
        <w:rPr>
          <w:rFonts w:ascii="Tahoma" w:hAnsi="Tahoma" w:cs="Tahoma"/>
          <w:b/>
          <w:bCs/>
          <w:spacing w:val="6"/>
          <w:sz w:val="22"/>
          <w:szCs w:val="22"/>
          <w:lang w:val="es-ES" w:eastAsia="es-ES"/>
        </w:rPr>
        <w:t xml:space="preserve">Se rechaza por extemporáneo el Recurso de Apelación en subsidio, </w:t>
      </w:r>
      <w:r>
        <w:rPr>
          <w:rFonts w:ascii="Tahoma" w:hAnsi="Tahoma" w:cs="Tahoma"/>
          <w:spacing w:val="6"/>
          <w:sz w:val="22"/>
          <w:szCs w:val="22"/>
          <w:lang w:val="es-ES" w:eastAsia="es-ES"/>
        </w:rPr>
        <w:t xml:space="preserve">interpuesto por </w:t>
      </w:r>
      <w:r>
        <w:rPr>
          <w:rFonts w:ascii="Tahoma" w:hAnsi="Tahoma" w:cs="Tahoma"/>
          <w:b/>
          <w:bCs/>
          <w:spacing w:val="6"/>
          <w:sz w:val="22"/>
          <w:szCs w:val="22"/>
          <w:lang w:val="es-ES" w:eastAsia="es-ES"/>
        </w:rPr>
        <w:t>A</w:t>
      </w:r>
      <w:r w:rsidR="008A6760">
        <w:rPr>
          <w:rFonts w:ascii="Tahoma" w:hAnsi="Tahoma" w:cs="Tahoma"/>
          <w:b/>
          <w:bCs/>
          <w:spacing w:val="6"/>
          <w:sz w:val="22"/>
          <w:szCs w:val="22"/>
          <w:lang w:val="es-ES" w:eastAsia="es-ES"/>
        </w:rPr>
        <w:t>.G.N.V.</w:t>
      </w:r>
      <w:r>
        <w:rPr>
          <w:rFonts w:ascii="Tahoma" w:hAnsi="Tahoma" w:cs="Tahoma"/>
          <w:b/>
          <w:bCs/>
          <w:spacing w:val="6"/>
          <w:sz w:val="22"/>
          <w:szCs w:val="22"/>
          <w:lang w:val="es-ES" w:eastAsia="es-ES"/>
        </w:rPr>
        <w:t xml:space="preserve">, cédula de identidad número </w:t>
      </w:r>
      <w:r w:rsidR="008A6760">
        <w:rPr>
          <w:rFonts w:ascii="Tahoma" w:hAnsi="Tahoma" w:cs="Tahoma"/>
          <w:b/>
          <w:bCs/>
          <w:spacing w:val="6"/>
          <w:sz w:val="22"/>
          <w:szCs w:val="22"/>
          <w:lang w:val="es-ES" w:eastAsia="es-ES"/>
        </w:rPr>
        <w:t>…</w:t>
      </w:r>
      <w:r>
        <w:rPr>
          <w:rFonts w:ascii="Tahoma" w:hAnsi="Tahoma" w:cs="Tahoma"/>
          <w:b/>
          <w:bCs/>
          <w:spacing w:val="6"/>
          <w:sz w:val="22"/>
          <w:szCs w:val="22"/>
          <w:lang w:val="es-ES" w:eastAsia="es-ES"/>
        </w:rPr>
        <w:t xml:space="preserve">, </w:t>
      </w:r>
      <w:r>
        <w:rPr>
          <w:rFonts w:ascii="Tahoma" w:hAnsi="Tahoma" w:cs="Tahoma"/>
          <w:spacing w:val="6"/>
          <w:sz w:val="22"/>
          <w:szCs w:val="22"/>
          <w:lang w:val="es-ES" w:eastAsia="es-ES"/>
        </w:rPr>
        <w:t xml:space="preserve">contra el </w:t>
      </w:r>
      <w:r>
        <w:rPr>
          <w:rFonts w:ascii="Tahoma" w:hAnsi="Tahoma" w:cs="Tahoma"/>
          <w:b/>
          <w:bCs/>
          <w:spacing w:val="6"/>
          <w:sz w:val="22"/>
          <w:szCs w:val="22"/>
          <w:lang w:val="es-ES" w:eastAsia="es-ES"/>
        </w:rPr>
        <w:t>artículo 7.10.3 de la Sesión Ordinaria 05</w:t>
      </w:r>
      <w:r>
        <w:rPr>
          <w:rFonts w:ascii="Tahoma" w:hAnsi="Tahoma" w:cs="Tahoma"/>
          <w:b/>
          <w:bCs/>
          <w:spacing w:val="6"/>
          <w:sz w:val="22"/>
          <w:szCs w:val="22"/>
          <w:lang w:val="es-ES" w:eastAsia="es-ES"/>
        </w:rPr>
        <w:softHyphen/>
        <w:t xml:space="preserve">2017 de 9 de febrero de 2017, </w:t>
      </w:r>
      <w:r>
        <w:rPr>
          <w:rFonts w:ascii="Tahoma" w:hAnsi="Tahoma" w:cs="Tahoma"/>
          <w:spacing w:val="6"/>
          <w:sz w:val="22"/>
          <w:szCs w:val="22"/>
          <w:lang w:val="es-ES" w:eastAsia="es-ES"/>
        </w:rPr>
        <w:t xml:space="preserve">dictado por la Junta Directiva del Consejo de Transporte Público y el </w:t>
      </w:r>
      <w:r>
        <w:rPr>
          <w:rFonts w:ascii="Tahoma" w:hAnsi="Tahoma" w:cs="Tahoma"/>
          <w:b/>
          <w:bCs/>
          <w:spacing w:val="6"/>
          <w:sz w:val="22"/>
          <w:szCs w:val="22"/>
          <w:lang w:val="es-ES" w:eastAsia="es-ES"/>
        </w:rPr>
        <w:t xml:space="preserve">oficio DACP-PT-2017-685 de 10 de setiembre de 2017 </w:t>
      </w:r>
      <w:r>
        <w:rPr>
          <w:rFonts w:ascii="Tahoma" w:hAnsi="Tahoma" w:cs="Tahoma"/>
          <w:spacing w:val="6"/>
          <w:sz w:val="22"/>
          <w:szCs w:val="22"/>
          <w:lang w:val="es-ES" w:eastAsia="es-ES"/>
        </w:rPr>
        <w:t>del Departamento de Administración de Concesiones y Permisos.</w:t>
      </w:r>
    </w:p>
    <w:p w:rsidR="00C23030" w:rsidRPr="008A6760" w:rsidRDefault="00C2238A" w:rsidP="008A6760">
      <w:pPr>
        <w:numPr>
          <w:ilvl w:val="0"/>
          <w:numId w:val="3"/>
        </w:numPr>
        <w:kinsoku w:val="0"/>
        <w:overflowPunct w:val="0"/>
        <w:autoSpaceDE/>
        <w:autoSpaceDN/>
        <w:adjustRightInd/>
        <w:spacing w:before="34" w:after="877" w:line="265" w:lineRule="exact"/>
        <w:ind w:right="72"/>
        <w:jc w:val="both"/>
        <w:textAlignment w:val="baseline"/>
        <w:rPr>
          <w:sz w:val="24"/>
          <w:szCs w:val="24"/>
        </w:rPr>
      </w:pPr>
      <w:r w:rsidRPr="008A6760">
        <w:rPr>
          <w:rFonts w:ascii="Tahoma" w:hAnsi="Tahoma" w:cs="Tahoma"/>
          <w:sz w:val="22"/>
          <w:szCs w:val="22"/>
          <w:lang w:val="es-ES" w:eastAsia="es-ES"/>
        </w:rPr>
        <w:t xml:space="preserve">De conformidad con el artículo 22, inciso c), de la citada Ley 7969, la presente resolución no tiene ulterior recurso por lo que, </w:t>
      </w:r>
      <w:r w:rsidRPr="008A6760">
        <w:rPr>
          <w:rFonts w:ascii="Tahoma" w:hAnsi="Tahoma" w:cs="Tahoma"/>
          <w:b/>
          <w:bCs/>
          <w:sz w:val="22"/>
          <w:szCs w:val="22"/>
          <w:lang w:val="es-ES" w:eastAsia="es-ES"/>
        </w:rPr>
        <w:t xml:space="preserve">se </w:t>
      </w:r>
      <w:r w:rsidRPr="008A6760">
        <w:rPr>
          <w:rFonts w:ascii="Verdana" w:hAnsi="Verdana" w:cs="Verdana"/>
          <w:i/>
          <w:iCs/>
          <w:sz w:val="23"/>
          <w:szCs w:val="23"/>
          <w:lang w:val="es-ES" w:eastAsia="es-ES"/>
        </w:rPr>
        <w:t>tiene por agotada la</w:t>
      </w:r>
      <w:r w:rsidR="008A6760" w:rsidRPr="008A6760">
        <w:rPr>
          <w:rFonts w:ascii="Verdana" w:hAnsi="Verdana" w:cs="Verdana"/>
          <w:i/>
          <w:iCs/>
          <w:sz w:val="23"/>
          <w:szCs w:val="23"/>
          <w:lang w:val="es-ES" w:eastAsia="es-ES"/>
        </w:rPr>
        <w:t xml:space="preserve"> </w:t>
      </w:r>
      <w:r w:rsidRPr="008A6760">
        <w:rPr>
          <w:rFonts w:ascii="Verdana" w:hAnsi="Verdana" w:cs="Verdana"/>
          <w:i/>
          <w:iCs/>
          <w:spacing w:val="2"/>
          <w:sz w:val="23"/>
          <w:szCs w:val="23"/>
          <w:lang w:val="es-ES" w:eastAsia="es-ES"/>
        </w:rPr>
        <w:t xml:space="preserve">vía administrativa. </w:t>
      </w:r>
      <w:r w:rsidRPr="008A6760">
        <w:rPr>
          <w:rFonts w:ascii="Tahoma" w:hAnsi="Tahoma" w:cs="Tahoma"/>
          <w:b/>
          <w:bCs/>
          <w:spacing w:val="2"/>
          <w:sz w:val="22"/>
          <w:szCs w:val="22"/>
          <w:lang w:val="es-ES" w:eastAsia="es-ES"/>
        </w:rPr>
        <w:t>NOTIFIQUESE. -</w:t>
      </w:r>
    </w:p>
    <w:p w:rsidR="008A6760" w:rsidRPr="00DE692E" w:rsidRDefault="008A6760" w:rsidP="008A6760">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8A6760" w:rsidRDefault="008A6760" w:rsidP="008A6760">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8A6760" w:rsidRDefault="008A6760" w:rsidP="008A6760">
      <w:pPr>
        <w:kinsoku w:val="0"/>
        <w:overflowPunct w:val="0"/>
        <w:autoSpaceDE/>
        <w:autoSpaceDN/>
        <w:adjustRightInd/>
        <w:spacing w:after="301" w:line="288" w:lineRule="exact"/>
        <w:ind w:left="216"/>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8A6760" w:rsidRDefault="008A6760" w:rsidP="008A6760">
      <w:pPr>
        <w:kinsoku w:val="0"/>
        <w:overflowPunct w:val="0"/>
        <w:autoSpaceDE/>
        <w:autoSpaceDN/>
        <w:adjustRightInd/>
        <w:spacing w:before="34" w:after="877" w:line="265" w:lineRule="exact"/>
        <w:ind w:right="72"/>
        <w:jc w:val="center"/>
        <w:textAlignment w:val="baseline"/>
        <w:rPr>
          <w:sz w:val="24"/>
          <w:szCs w:val="24"/>
        </w:rPr>
        <w:sectPr w:rsidR="008A6760">
          <w:type w:val="continuous"/>
          <w:pgSz w:w="12312" w:h="15821"/>
          <w:pgMar w:top="1600" w:right="1645" w:bottom="345" w:left="1587" w:header="720" w:footer="720" w:gutter="0"/>
          <w:cols w:space="720"/>
          <w:noEndnote/>
        </w:sectPr>
      </w:pPr>
    </w:p>
    <w:p w:rsidR="00C2238A" w:rsidRDefault="00C2238A" w:rsidP="008A6760">
      <w:pPr>
        <w:tabs>
          <w:tab w:val="right" w:pos="3096"/>
        </w:tabs>
        <w:kinsoku w:val="0"/>
        <w:overflowPunct w:val="0"/>
        <w:autoSpaceDE/>
        <w:autoSpaceDN/>
        <w:adjustRightInd/>
        <w:spacing w:before="6" w:line="283" w:lineRule="exact"/>
        <w:textAlignment w:val="baseline"/>
        <w:rPr>
          <w:sz w:val="25"/>
          <w:szCs w:val="25"/>
          <w:lang w:val="es-ES" w:eastAsia="es-ES"/>
        </w:rPr>
      </w:pPr>
    </w:p>
    <w:sectPr w:rsidR="00C2238A">
      <w:type w:val="continuous"/>
      <w:pgSz w:w="12312" w:h="15821"/>
      <w:pgMar w:top="1600" w:right="1662" w:bottom="345" w:left="75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2688"/>
    <w:multiLevelType w:val="singleLevel"/>
    <w:tmpl w:val="5DDC32B5"/>
    <w:lvl w:ilvl="0">
      <w:start w:val="1"/>
      <w:numFmt w:val="decimal"/>
      <w:lvlText w:val="%1.-"/>
      <w:lvlJc w:val="left"/>
      <w:pPr>
        <w:tabs>
          <w:tab w:val="num" w:pos="504"/>
        </w:tabs>
        <w:ind w:left="72"/>
      </w:pPr>
      <w:rPr>
        <w:rFonts w:ascii="Verdana" w:hAnsi="Verdana" w:cs="Verdana"/>
        <w:b/>
        <w:bCs/>
        <w:snapToGrid/>
        <w:sz w:val="22"/>
        <w:szCs w:val="22"/>
      </w:rPr>
    </w:lvl>
  </w:abstractNum>
  <w:abstractNum w:abstractNumId="1" w15:restartNumberingAfterBreak="0">
    <w:nsid w:val="07987379"/>
    <w:multiLevelType w:val="singleLevel"/>
    <w:tmpl w:val="32786E0E"/>
    <w:lvl w:ilvl="0">
      <w:start w:val="1"/>
      <w:numFmt w:val="upperRoman"/>
      <w:lvlText w:val="%1.-"/>
      <w:lvlJc w:val="left"/>
      <w:pPr>
        <w:tabs>
          <w:tab w:val="num" w:pos="576"/>
        </w:tabs>
        <w:ind w:left="144"/>
      </w:pPr>
      <w:rPr>
        <w:rFonts w:ascii="Tahoma" w:hAnsi="Tahoma" w:cs="Tahoma"/>
        <w:b/>
        <w:bCs/>
        <w:snapToGrid/>
        <w:spacing w:val="6"/>
        <w:sz w:val="22"/>
        <w:szCs w:val="22"/>
      </w:rPr>
    </w:lvl>
  </w:abstractNum>
  <w:num w:numId="1">
    <w:abstractNumId w:val="0"/>
  </w:num>
  <w:num w:numId="2">
    <w:abstractNumId w:val="1"/>
  </w:num>
  <w:num w:numId="3">
    <w:abstractNumId w:val="1"/>
    <w:lvlOverride w:ilvl="0">
      <w:lvl w:ilvl="0">
        <w:numFmt w:val="upperRoman"/>
        <w:lvlText w:val="%1.-"/>
        <w:lvlJc w:val="left"/>
        <w:pPr>
          <w:tabs>
            <w:tab w:val="num" w:pos="792"/>
          </w:tabs>
          <w:ind w:left="144"/>
        </w:pPr>
        <w:rPr>
          <w:rFonts w:ascii="Tahoma" w:hAnsi="Tahoma" w:cs="Tahoma"/>
          <w:b/>
          <w:i w:val="0"/>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60"/>
    <w:rsid w:val="00604412"/>
    <w:rsid w:val="008A6760"/>
    <w:rsid w:val="00C2238A"/>
    <w:rsid w:val="00C230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cascadadefue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scadadefuego.com" TargetMode="External"/><Relationship Id="rId5" Type="http://schemas.openxmlformats.org/officeDocument/2006/relationships/hyperlink" Target="mailto:info@cascadadefueg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2019-04-25T16:56:00Z</dcterms:created>
  <dcterms:modified xsi:type="dcterms:W3CDTF">2019-04-25T16:56:00Z</dcterms:modified>
</cp:coreProperties>
</file>